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DESIRÉE PASCHOAL DE MELO</w:t>
      </w:r>
    </w:p>
    <w:p>
      <w:pPr>
        <w:pStyle w:val="Subtitle"/>
      </w:pPr>
      <w:r>
        <w:t>Cultural Program Leader  |  Artist-Educator  |  Researcher</w:t>
      </w:r>
    </w:p>
    <w:p>
      <w:pPr>
        <w:pStyle w:val="CompactBody"/>
        <w:jc w:val="center"/>
      </w:pPr>
      <w:r>
        <w:rPr>
          <w:color w:val="1E1E1E"/>
          <w:sz w:val="17"/>
        </w:rPr>
        <w:t>Arlington, Massachusetts</w:t>
      </w:r>
      <w:r>
        <w:rPr>
          <w:color w:val="828282"/>
        </w:rPr>
        <w:t xml:space="preserve">  •  </w:t>
      </w:r>
      <w:r>
        <w:rPr>
          <w:color w:val="1E1E1E"/>
          <w:sz w:val="17"/>
        </w:rPr>
        <w:t>U.S. Permanent Resident</w:t>
      </w:r>
      <w:r>
        <w:rPr>
          <w:color w:val="828282"/>
        </w:rPr>
        <w:t xml:space="preserve">  •  </w:t>
      </w:r>
      <w:r>
        <w:rPr>
          <w:color w:val="1E1E1E"/>
          <w:sz w:val="17"/>
        </w:rPr>
        <w:t>desireemelo@hotmail.com</w:t>
      </w:r>
      <w:r>
        <w:rPr>
          <w:color w:val="828282"/>
        </w:rPr>
        <w:t xml:space="preserve">  •  </w:t>
      </w:r>
      <w:r>
        <w:rPr>
          <w:color w:val="1E1E1E"/>
          <w:sz w:val="17"/>
        </w:rPr>
        <w:t>+1 (781) 866-5317</w:t>
      </w:r>
    </w:p>
    <w:p>
      <w:pPr>
        <w:pStyle w:val="Heading1"/>
        <w:pBdr>
          <w:bottom w:val="single" w:sz="8" w:space="2" w:color="4A7179"/>
        </w:pBdr>
      </w:pPr>
      <w:r>
        <w:t>PROFESSIONAL PROFILE</w:t>
      </w:r>
    </w:p>
    <w:p>
      <w:pPr>
        <w:pStyle w:val="CompactBody"/>
      </w:pPr>
      <w:r>
        <w:t>Artist-educator, researcher, and cultural program leader with more than 20 years of experience in arts education, public cultural administration, university leadership, artist development, curatorial practice, and visual communication. Founder and Methodological Director of Artistic Residency Em Processo, a six-edition program that has engaged approximately 70 individual artists and supported more than 100 artistic projects and creative processes. Former full-time Visual Arts Professor and Department Vice Chair at UNICENTRO, now designing and facilitating participatory arts and environmental-justice learning experiences for youth in Massachusetts. Specializes in translating research on creative processes into curricula, mentorship structures, exhibitions, public programs, and documentation.</w:t>
      </w:r>
    </w:p>
    <w:p>
      <w:pPr>
        <w:pStyle w:val="Heading1"/>
        <w:pBdr>
          <w:bottom w:val="single" w:sz="8" w:space="2" w:color="4A7179"/>
        </w:pBdr>
      </w:pPr>
      <w:r>
        <w:t>CORE EXPERTISE</w:t>
      </w:r>
    </w:p>
    <w:tbl>
      <w:tblPr>
        <w:tblW w:type="auto" w:w="0"/>
        <w:jc w:val="left"/>
        <w:tblLayout w:type="fixed"/>
        <w:tblLook w:firstColumn="1" w:firstRow="1" w:lastColumn="0" w:lastRow="0" w:noHBand="0" w:noVBand="1" w:val="04A0"/>
      </w:tblPr>
      <w:tblGrid>
        <w:gridCol w:w="5141"/>
        <w:gridCol w:w="5141"/>
      </w:tblGrid>
      <w:tr>
        <w:trPr>
          <w:cantSplit/>
        </w:trPr>
        <w:tc>
          <w:tcPr>
            <w:tcW w:type="dxa" w:w="5472"/>
            <w:tcBorders>
              <w:top w:val="nil"/>
              <w:left w:val="nil"/>
              <w:bottom w:val="nil"/>
              <w:right w:val="nil"/>
            </w:tcBorders>
          </w:tcPr>
          <w:p>
            <w:pPr>
              <w:pStyle w:val="CompactBody"/>
              <w:spacing w:after="0"/>
            </w:pPr>
            <w:r>
              <w:t>• Cultural and Creative Program Development</w:t>
            </w:r>
          </w:p>
        </w:tc>
        <w:tc>
          <w:tcPr>
            <w:tcW w:type="dxa" w:w="5472"/>
            <w:tcBorders>
              <w:top w:val="nil"/>
              <w:left w:val="nil"/>
              <w:bottom w:val="nil"/>
              <w:right w:val="nil"/>
            </w:tcBorders>
          </w:tcPr>
          <w:p>
            <w:pPr>
              <w:pStyle w:val="CompactBody"/>
              <w:spacing w:after="0"/>
            </w:pPr>
            <w:r>
              <w:t>• Research-Based Arts Learning</w:t>
            </w:r>
          </w:p>
        </w:tc>
      </w:tr>
      <w:tr>
        <w:trPr>
          <w:cantSplit/>
        </w:trPr>
        <w:tc>
          <w:tcPr>
            <w:tcW w:type="dxa" w:w="5472"/>
            <w:tcBorders>
              <w:top w:val="nil"/>
              <w:left w:val="nil"/>
              <w:bottom w:val="nil"/>
              <w:right w:val="nil"/>
            </w:tcBorders>
          </w:tcPr>
          <w:p>
            <w:pPr>
              <w:pStyle w:val="CompactBody"/>
              <w:spacing w:after="0"/>
            </w:pPr>
            <w:r>
              <w:t>• Artist Development and Mentorship</w:t>
            </w:r>
          </w:p>
        </w:tc>
        <w:tc>
          <w:tcPr>
            <w:tcW w:type="dxa" w:w="5472"/>
            <w:tcBorders>
              <w:top w:val="nil"/>
              <w:left w:val="nil"/>
              <w:bottom w:val="nil"/>
              <w:right w:val="nil"/>
            </w:tcBorders>
          </w:tcPr>
          <w:p>
            <w:pPr>
              <w:pStyle w:val="CompactBody"/>
              <w:spacing w:after="0"/>
            </w:pPr>
            <w:r>
              <w:t>• Curriculum and Learning Experience Design</w:t>
            </w:r>
          </w:p>
        </w:tc>
      </w:tr>
      <w:tr>
        <w:trPr>
          <w:cantSplit/>
        </w:trPr>
        <w:tc>
          <w:tcPr>
            <w:tcW w:type="dxa" w:w="5472"/>
            <w:tcBorders>
              <w:top w:val="nil"/>
              <w:left w:val="nil"/>
              <w:bottom w:val="nil"/>
              <w:right w:val="nil"/>
            </w:tcBorders>
          </w:tcPr>
          <w:p>
            <w:pPr>
              <w:pStyle w:val="CompactBody"/>
              <w:spacing w:after="0"/>
            </w:pPr>
            <w:r>
              <w:t>• Academic and Institutional Leadership</w:t>
            </w:r>
          </w:p>
        </w:tc>
        <w:tc>
          <w:tcPr>
            <w:tcW w:type="dxa" w:w="5472"/>
            <w:tcBorders>
              <w:top w:val="nil"/>
              <w:left w:val="nil"/>
              <w:bottom w:val="nil"/>
              <w:right w:val="nil"/>
            </w:tcBorders>
          </w:tcPr>
          <w:p>
            <w:pPr>
              <w:pStyle w:val="CompactBody"/>
              <w:spacing w:after="0"/>
            </w:pPr>
            <w:r>
              <w:t>• Community Arts and Youth Engagement</w:t>
            </w:r>
          </w:p>
        </w:tc>
      </w:tr>
      <w:tr>
        <w:trPr>
          <w:cantSplit/>
        </w:trPr>
        <w:tc>
          <w:tcPr>
            <w:tcW w:type="dxa" w:w="5472"/>
            <w:tcBorders>
              <w:top w:val="nil"/>
              <w:left w:val="nil"/>
              <w:bottom w:val="nil"/>
              <w:right w:val="nil"/>
            </w:tcBorders>
          </w:tcPr>
          <w:p>
            <w:pPr>
              <w:pStyle w:val="CompactBody"/>
              <w:spacing w:after="0"/>
            </w:pPr>
            <w:r>
              <w:t>• Process-Based Curation and Exhibitions</w:t>
            </w:r>
          </w:p>
        </w:tc>
        <w:tc>
          <w:tcPr>
            <w:tcW w:type="dxa" w:w="5472"/>
            <w:tcBorders>
              <w:top w:val="nil"/>
              <w:left w:val="nil"/>
              <w:bottom w:val="nil"/>
              <w:right w:val="nil"/>
            </w:tcBorders>
          </w:tcPr>
          <w:p>
            <w:pPr>
              <w:pStyle w:val="CompactBody"/>
              <w:spacing w:after="0"/>
            </w:pPr>
            <w:r>
              <w:t>• Public Cultural Administration</w:t>
            </w:r>
          </w:p>
        </w:tc>
      </w:tr>
      <w:tr>
        <w:trPr>
          <w:cantSplit/>
        </w:trPr>
        <w:tc>
          <w:tcPr>
            <w:tcW w:type="dxa" w:w="5472"/>
            <w:tcBorders>
              <w:top w:val="nil"/>
              <w:left w:val="nil"/>
              <w:bottom w:val="nil"/>
              <w:right w:val="nil"/>
            </w:tcBorders>
          </w:tcPr>
          <w:p>
            <w:pPr>
              <w:pStyle w:val="CompactBody"/>
              <w:spacing w:after="0"/>
            </w:pPr>
            <w:r>
              <w:t>• Cross-Sector Partnerships</w:t>
            </w:r>
          </w:p>
        </w:tc>
        <w:tc>
          <w:tcPr>
            <w:tcW w:type="dxa" w:w="5472"/>
            <w:tcBorders>
              <w:top w:val="nil"/>
              <w:left w:val="nil"/>
              <w:bottom w:val="nil"/>
              <w:right w:val="nil"/>
            </w:tcBorders>
          </w:tcPr>
          <w:p>
            <w:pPr>
              <w:pStyle w:val="CompactBody"/>
              <w:spacing w:after="0"/>
            </w:pPr>
            <w:r>
              <w:t>• Grant-Supported Programs</w:t>
            </w:r>
          </w:p>
        </w:tc>
      </w:tr>
      <w:tr>
        <w:trPr>
          <w:cantSplit/>
        </w:trPr>
        <w:tc>
          <w:tcPr>
            <w:tcW w:type="dxa" w:w="5472"/>
            <w:tcBorders>
              <w:top w:val="nil"/>
              <w:left w:val="nil"/>
              <w:bottom w:val="nil"/>
              <w:right w:val="nil"/>
            </w:tcBorders>
          </w:tcPr>
          <w:p>
            <w:pPr>
              <w:pStyle w:val="CompactBody"/>
              <w:spacing w:after="0"/>
            </w:pPr>
            <w:r>
              <w:t>• Visual Communication and Editorial Design</w:t>
            </w:r>
          </w:p>
        </w:tc>
        <w:tc>
          <w:tcPr>
            <w:tcW w:type="dxa" w:w="5472"/>
            <w:tcBorders>
              <w:top w:val="nil"/>
              <w:left w:val="nil"/>
              <w:bottom w:val="nil"/>
              <w:right w:val="nil"/>
            </w:tcBorders>
          </w:tcPr>
          <w:p>
            <w:pPr>
              <w:pStyle w:val="CompactBody"/>
              <w:spacing w:after="0"/>
            </w:pPr>
            <w:r>
              <w:t>• Program Documentation and Qualitative Evaluation</w:t>
            </w:r>
          </w:p>
        </w:tc>
      </w:tr>
    </w:tbl>
    <w:p>
      <w:pPr>
        <w:pStyle w:val="Heading1"/>
        <w:pBdr>
          <w:bottom w:val="single" w:sz="8" w:space="2" w:color="4A7179"/>
        </w:pBdr>
      </w:pPr>
      <w:r>
        <w:t>PROFESSIONAL EXPERIENCE</w:t>
      </w:r>
    </w:p>
    <w:tbl>
      <w:tblPr>
        <w:tblW w:type="auto" w:w="0"/>
        <w:jc w:val="left"/>
        <w:tblLayout w:type="fixed"/>
        <w:tblLook w:firstColumn="1" w:firstRow="1" w:lastColumn="0" w:lastRow="0" w:noHBand="0" w:noVBand="1" w:val="04A0"/>
      </w:tblPr>
      <w:tblGrid>
        <w:gridCol w:w="9432"/>
        <w:gridCol w:w="1800"/>
      </w:tblGrid>
      <w:tr>
        <w:trPr>
          <w:cantSplit/>
        </w:trPr>
        <w:tc>
          <w:tcPr>
            <w:tcW w:type="dxa" w:w="9432"/>
            <w:vAlign w:val="top"/>
            <w:tcBorders>
              <w:top w:val="nil"/>
              <w:left w:val="nil"/>
              <w:bottom w:val="nil"/>
              <w:right w:val="nil"/>
            </w:tcBorders>
            <w:tcMar>
              <w:top w:w="0" w:type="dxa"/>
              <w:left w:w="0" w:type="dxa"/>
              <w:bottom w:w="0" w:type="dxa"/>
              <w:right w:w="0" w:type="dxa"/>
            </w:tcMar>
          </w:tcPr>
          <w:p>
            <w:pPr>
              <w:pStyle w:val="RoleHeader"/>
            </w:pPr>
            <w:r>
              <w:rPr>
                <w:b/>
              </w:rPr>
              <w:t>Green Team Leader | Curriculum and Youth Engagement</w:t>
            </w:r>
            <w:r>
              <w:rPr>
                <w:b w:val="0"/>
                <w:color w:val="2A4E58"/>
              </w:rPr>
              <w:t xml:space="preserve"> | Groundwork Somerville</w:t>
            </w:r>
          </w:p>
        </w:tc>
        <w:tc>
          <w:tcPr>
            <w:tcW w:type="dxa" w:w="1800"/>
            <w:vAlign w:val="top"/>
            <w:tcBorders>
              <w:top w:val="nil"/>
              <w:left w:val="nil"/>
              <w:bottom w:val="nil"/>
              <w:right w:val="nil"/>
            </w:tcBorders>
            <w:tcMar>
              <w:top w:w="0" w:type="dxa"/>
              <w:left w:w="0" w:type="dxa"/>
              <w:bottom w:w="0" w:type="dxa"/>
              <w:right w:w="0" w:type="dxa"/>
            </w:tcMar>
          </w:tcPr>
          <w:p>
            <w:pPr>
              <w:pStyle w:val="RoleHeader"/>
              <w:jc w:val="right"/>
            </w:pPr>
            <w:r>
              <w:rPr>
                <w:b/>
                <w:color w:val="2A4E58"/>
              </w:rPr>
              <w:t>Mar 2026-Present</w:t>
            </w:r>
          </w:p>
        </w:tc>
      </w:tr>
    </w:tbl>
    <w:p>
      <w:pPr>
        <w:pStyle w:val="RoleMeta"/>
      </w:pPr>
      <w:r>
        <w:t>Somerville, Massachusetts</w:t>
      </w:r>
    </w:p>
    <w:p>
      <w:pPr>
        <w:pStyle w:val="CompactBullet"/>
      </w:pPr>
      <w:r>
        <w:rPr>
          <w:color w:val="1E1E1E"/>
        </w:rPr>
        <w:t>• Design and facilitate participatory learning experiences connecting urban agriculture, environmental justice, community observation, visual expression, and civic engagement.</w:t>
      </w:r>
    </w:p>
    <w:p>
      <w:pPr>
        <w:pStyle w:val="CompactBullet"/>
      </w:pPr>
      <w:r>
        <w:rPr>
          <w:color w:val="1E1E1E"/>
        </w:rPr>
        <w:t>• Develop curriculum, lesson plans, and visual learning tools for youth programs, including mapping activities, ecosystem investigations, pollinator studies, collaborative planning sessions, and reflection prompts.</w:t>
      </w:r>
    </w:p>
    <w:p>
      <w:pPr>
        <w:pStyle w:val="CompactBullet"/>
      </w:pPr>
      <w:r>
        <w:rPr>
          <w:color w:val="1E1E1E"/>
        </w:rPr>
        <w:t>• Lead and support youth crews in farm stewardship, field-based learning, group dialogue, and public engagement activities.</w:t>
      </w:r>
    </w:p>
    <w:p>
      <w:pPr>
        <w:pStyle w:val="CompactBullet"/>
      </w:pPr>
      <w:r>
        <w:rPr>
          <w:color w:val="1E1E1E"/>
        </w:rPr>
        <w:t>• Use visual, narrative, and game-informed methods to make complex ecological and civic concepts accessible and participatory.</w:t>
      </w:r>
    </w:p>
    <w:p>
      <w:pPr>
        <w:pStyle w:val="CompactBullet"/>
      </w:pPr>
      <w:r>
        <w:rPr>
          <w:color w:val="1E1E1E"/>
        </w:rPr>
        <w:t>• Collaborate with program staff to adapt pacing, materials, group structures, and facilitation strategies in response to youth participation and program needs.</w:t>
      </w:r>
    </w:p>
    <w:tbl>
      <w:tblPr>
        <w:tblW w:type="auto" w:w="0"/>
        <w:jc w:val="left"/>
        <w:tblLayout w:type="fixed"/>
        <w:tblLook w:firstColumn="1" w:firstRow="1" w:lastColumn="0" w:lastRow="0" w:noHBand="0" w:noVBand="1" w:val="04A0"/>
      </w:tblPr>
      <w:tblGrid>
        <w:gridCol w:w="9432"/>
        <w:gridCol w:w="1800"/>
      </w:tblGrid>
      <w:tr>
        <w:trPr>
          <w:cantSplit/>
        </w:trPr>
        <w:tc>
          <w:tcPr>
            <w:tcW w:type="dxa" w:w="9432"/>
            <w:vAlign w:val="top"/>
            <w:tcBorders>
              <w:top w:val="nil"/>
              <w:left w:val="nil"/>
              <w:bottom w:val="nil"/>
              <w:right w:val="nil"/>
            </w:tcBorders>
            <w:tcMar>
              <w:top w:w="0" w:type="dxa"/>
              <w:left w:w="0" w:type="dxa"/>
              <w:bottom w:w="0" w:type="dxa"/>
              <w:right w:w="0" w:type="dxa"/>
            </w:tcMar>
          </w:tcPr>
          <w:p>
            <w:pPr>
              <w:pStyle w:val="RoleHeader"/>
            </w:pPr>
            <w:r>
              <w:rPr>
                <w:b/>
              </w:rPr>
              <w:t>Founder and Methodological Director</w:t>
            </w:r>
            <w:r>
              <w:rPr>
                <w:b w:val="0"/>
                <w:color w:val="2A4E58"/>
              </w:rPr>
              <w:t xml:space="preserve"> | Artistic Residency Em Processo</w:t>
            </w:r>
          </w:p>
        </w:tc>
        <w:tc>
          <w:tcPr>
            <w:tcW w:type="dxa" w:w="1800"/>
            <w:vAlign w:val="top"/>
            <w:tcBorders>
              <w:top w:val="nil"/>
              <w:left w:val="nil"/>
              <w:bottom w:val="nil"/>
              <w:right w:val="nil"/>
            </w:tcBorders>
            <w:tcMar>
              <w:top w:w="0" w:type="dxa"/>
              <w:left w:w="0" w:type="dxa"/>
              <w:bottom w:w="0" w:type="dxa"/>
              <w:right w:w="0" w:type="dxa"/>
            </w:tcMar>
          </w:tcPr>
          <w:p>
            <w:pPr>
              <w:pStyle w:val="RoleHeader"/>
              <w:jc w:val="right"/>
            </w:pPr>
            <w:r>
              <w:rPr>
                <w:b/>
                <w:color w:val="2A4E58"/>
              </w:rPr>
              <w:t>2022-Present</w:t>
            </w:r>
          </w:p>
        </w:tc>
      </w:tr>
    </w:tbl>
    <w:p>
      <w:pPr>
        <w:pStyle w:val="RoleMeta"/>
      </w:pPr>
      <w:r>
        <w:t>Guarapuava, Brazil | Hybrid</w:t>
      </w:r>
    </w:p>
    <w:p>
      <w:pPr>
        <w:pStyle w:val="CompactBullet"/>
      </w:pPr>
      <w:r>
        <w:rPr>
          <w:color w:val="1E1E1E"/>
        </w:rPr>
        <w:t>• Founded and developed a continuing, research-based artist residency that has delivered six editions, engaged approximately 70 individual artists, supported more than 100 artistic projects and creative processes, and produced six public exhibitions.</w:t>
      </w:r>
    </w:p>
    <w:p>
      <w:pPr>
        <w:pStyle w:val="CompactBullet"/>
      </w:pPr>
      <w:r>
        <w:rPr>
          <w:color w:val="1E1E1E"/>
        </w:rPr>
        <w:t>• Designed the program methodology by translating research on Charles S. Peirce, inquiry, experimentation, fallibility, and habit change into mentorship, peer dialogue, artist notebooks, workshops, and reflective tools.</w:t>
      </w:r>
    </w:p>
    <w:p>
      <w:pPr>
        <w:pStyle w:val="CompactBullet"/>
      </w:pPr>
      <w:r>
        <w:rPr>
          <w:color w:val="1E1E1E"/>
        </w:rPr>
        <w:t>• Led the initial implementation and direct coordination of the residency, then helped establish a distributed structure involving executive coordination, tutoring, production, communications, photography, audiovisual documentation, technical support, and invited mentors.</w:t>
      </w:r>
    </w:p>
    <w:p>
      <w:pPr>
        <w:pStyle w:val="CompactBullet"/>
      </w:pPr>
      <w:r>
        <w:rPr>
          <w:color w:val="1E1E1E"/>
        </w:rPr>
        <w:t>• Direct artist selection processes, cohort learning, workshops, public conversations, educational visits, process documentation, exhibition development, and qualitative evaluation.</w:t>
      </w:r>
    </w:p>
    <w:p>
      <w:pPr>
        <w:pStyle w:val="CompactBullet"/>
      </w:pPr>
      <w:r>
        <w:rPr>
          <w:color w:val="1E1E1E"/>
        </w:rPr>
        <w:t>• Mentor artists working across painting, photography, installation, audiovisual media, performance, literature, textiles, sculpture, ceramics, digital practices, and hybrid forms.</w:t>
      </w:r>
    </w:p>
    <w:p>
      <w:pPr>
        <w:pStyle w:val="CompactBullet"/>
      </w:pPr>
      <w:r>
        <w:rPr>
          <w:color w:val="1E1E1E"/>
        </w:rPr>
        <w:t>• Built partnerships with UNICENTRO, municipal cultural agencies, public schools, cultural venues, researchers, educators, and community organizations.</w:t>
      </w:r>
    </w:p>
    <w:p>
      <w:pPr>
        <w:pStyle w:val="CompactBullet"/>
      </w:pPr>
      <w:r>
        <w:rPr>
          <w:color w:val="1E1E1E"/>
        </w:rPr>
        <w:t>• Integrated artist notebooks, interviews, photography, video, reports, digital platforms, and public-facing materials into program memory, audience engagement, and communication.</w:t>
      </w:r>
    </w:p>
    <w:tbl>
      <w:tblPr>
        <w:tblW w:type="auto" w:w="0"/>
        <w:jc w:val="left"/>
        <w:tblLayout w:type="fixed"/>
        <w:tblLook w:firstColumn="1" w:firstRow="1" w:lastColumn="0" w:lastRow="0" w:noHBand="0" w:noVBand="1" w:val="04A0"/>
      </w:tblPr>
      <w:tblGrid>
        <w:gridCol w:w="9432"/>
        <w:gridCol w:w="1800"/>
      </w:tblGrid>
      <w:tr>
        <w:trPr>
          <w:cantSplit/>
        </w:trPr>
        <w:tc>
          <w:tcPr>
            <w:tcW w:type="dxa" w:w="9432"/>
            <w:vAlign w:val="top"/>
            <w:tcBorders>
              <w:top w:val="nil"/>
              <w:left w:val="nil"/>
              <w:bottom w:val="nil"/>
              <w:right w:val="nil"/>
            </w:tcBorders>
            <w:tcMar>
              <w:top w:w="0" w:type="dxa"/>
              <w:left w:w="0" w:type="dxa"/>
              <w:bottom w:w="0" w:type="dxa"/>
              <w:right w:w="0" w:type="dxa"/>
            </w:tcMar>
          </w:tcPr>
          <w:p>
            <w:pPr>
              <w:pStyle w:val="RoleHeader"/>
            </w:pPr>
            <w:r>
              <w:rPr>
                <w:b/>
              </w:rPr>
              <w:t>Professor of Visual Arts | Vice Coordinator and Vice Chair, Department of Art</w:t>
            </w:r>
            <w:r>
              <w:rPr>
                <w:b w:val="0"/>
                <w:color w:val="2A4E58"/>
              </w:rPr>
              <w:t xml:space="preserve"> | Universidade Estadual do Centro-Oeste - UNICENTRO</w:t>
            </w:r>
          </w:p>
        </w:tc>
        <w:tc>
          <w:tcPr>
            <w:tcW w:type="dxa" w:w="1800"/>
            <w:vAlign w:val="top"/>
            <w:tcBorders>
              <w:top w:val="nil"/>
              <w:left w:val="nil"/>
              <w:bottom w:val="nil"/>
              <w:right w:val="nil"/>
            </w:tcBorders>
            <w:tcMar>
              <w:top w:w="0" w:type="dxa"/>
              <w:left w:w="0" w:type="dxa"/>
              <w:bottom w:w="0" w:type="dxa"/>
              <w:right w:w="0" w:type="dxa"/>
            </w:tcMar>
          </w:tcPr>
          <w:p>
            <w:pPr>
              <w:pStyle w:val="RoleHeader"/>
              <w:jc w:val="right"/>
            </w:pPr>
            <w:r>
              <w:rPr>
                <w:b/>
                <w:color w:val="2A4E58"/>
              </w:rPr>
              <w:t>Apr 2012-Feb 2025</w:t>
            </w:r>
          </w:p>
        </w:tc>
      </w:tr>
    </w:tbl>
    <w:p>
      <w:pPr>
        <w:pStyle w:val="RoleMeta"/>
      </w:pPr>
      <w:r>
        <w:t>Guarapuava, Brazil</w:t>
      </w:r>
    </w:p>
    <w:p>
      <w:pPr>
        <w:pStyle w:val="CompactBullet"/>
      </w:pPr>
      <w:r>
        <w:rPr>
          <w:color w:val="1E1E1E"/>
        </w:rPr>
        <w:t>• Held a full-time, exclusive public-university appointment for nearly 13 years, teaching studio practice, visual studies, semiotics, creative processes, art and technology, participatory poetics, and community-based artistic production.</w:t>
      </w:r>
    </w:p>
    <w:p>
      <w:pPr>
        <w:pStyle w:val="CompactBullet"/>
      </w:pPr>
      <w:r>
        <w:rPr>
          <w:color w:val="1E1E1E"/>
        </w:rPr>
        <w:t>• Served as Vice Coordinator of the Department of Arts (2013-2016) and Vice Chair of the Department of Art (2021-2024), contributing to departmental planning, shared governance, curriculum, academic operations, and institutional decision-making.</w:t>
      </w:r>
    </w:p>
    <w:p>
      <w:pPr>
        <w:pStyle w:val="CompactBullet"/>
      </w:pPr>
      <w:r>
        <w:rPr>
          <w:color w:val="1E1E1E"/>
        </w:rPr>
        <w:t>• Participated in the Department Council, the curriculum development committee, and the internal teaching, research, and extension committee; served on faculty, supervisor, and student scholarship selection panels.</w:t>
      </w:r>
    </w:p>
    <w:p>
      <w:pPr>
        <w:pStyle w:val="CompactBullet"/>
      </w:pPr>
      <w:r>
        <w:rPr>
          <w:color w:val="1E1E1E"/>
        </w:rPr>
        <w:t>• Designed and taught interdisciplinary courses spanning foundations, perception, drawing, painting, printmaking, three-dimensional practices, expressive materials, visual communication, media, and community arts.</w:t>
      </w:r>
    </w:p>
    <w:p>
      <w:pPr>
        <w:pStyle w:val="CompactBullet"/>
      </w:pPr>
      <w:r>
        <w:rPr>
          <w:color w:val="1E1E1E"/>
        </w:rPr>
        <w:t>• Developed and coordinated grant-supported symposia, exhibitions, interdisciplinary film and discussion programs, extension initiatives, and public-facing academic events.</w:t>
      </w:r>
    </w:p>
    <w:p>
      <w:pPr>
        <w:pStyle w:val="CompactBullet"/>
      </w:pPr>
      <w:r>
        <w:rPr>
          <w:color w:val="1E1E1E"/>
        </w:rPr>
        <w:t>• Led applied research on creative processes, resulting in the Creative Process Observation Map, artist-residency programming, exhibitions, documentary outputs, and mentorship of undergraduate researchers.</w:t>
      </w:r>
    </w:p>
    <w:p>
      <w:pPr>
        <w:pStyle w:val="CompactBullet"/>
      </w:pPr>
      <w:r>
        <w:rPr>
          <w:color w:val="1E1E1E"/>
        </w:rPr>
        <w:t>• Coordinated, curated, and moderated the 2022 Art Exhibition and contributed to artistic committees, exhibition planning, and public presentation of student research and artwork.</w:t>
      </w:r>
    </w:p>
    <w:p>
      <w:pPr>
        <w:pStyle w:val="CompactBullet"/>
      </w:pPr>
      <w:r>
        <w:rPr>
          <w:color w:val="1E1E1E"/>
        </w:rPr>
        <w:t>• Collaborated with the university distance-education center on graphic design and educational communication materials.</w:t>
      </w:r>
    </w:p>
    <w:tbl>
      <w:tblPr>
        <w:tblW w:type="auto" w:w="0"/>
        <w:jc w:val="left"/>
        <w:tblLayout w:type="fixed"/>
        <w:tblLook w:firstColumn="1" w:firstRow="1" w:lastColumn="0" w:lastRow="0" w:noHBand="0" w:noVBand="1" w:val="04A0"/>
      </w:tblPr>
      <w:tblGrid>
        <w:gridCol w:w="9432"/>
        <w:gridCol w:w="1800"/>
      </w:tblGrid>
      <w:tr>
        <w:trPr>
          <w:cantSplit/>
        </w:trPr>
        <w:tc>
          <w:tcPr>
            <w:tcW w:type="dxa" w:w="9432"/>
            <w:vAlign w:val="top"/>
            <w:tcBorders>
              <w:top w:val="nil"/>
              <w:left w:val="nil"/>
              <w:bottom w:val="nil"/>
              <w:right w:val="nil"/>
            </w:tcBorders>
            <w:tcMar>
              <w:top w:w="0" w:type="dxa"/>
              <w:left w:w="0" w:type="dxa"/>
              <w:bottom w:w="0" w:type="dxa"/>
              <w:right w:w="0" w:type="dxa"/>
            </w:tcMar>
          </w:tcPr>
          <w:p>
            <w:pPr>
              <w:pStyle w:val="RoleHeader"/>
            </w:pPr>
            <w:r>
              <w:rPr>
                <w:b/>
              </w:rPr>
              <w:t>Arts and Culture Manager (Gestora de Artes e Cultura)</w:t>
            </w:r>
            <w:r>
              <w:rPr>
                <w:b w:val="0"/>
                <w:color w:val="2A4E58"/>
              </w:rPr>
              <w:t xml:space="preserve"> | Fundação de Cultura de Mato Grosso do Sul</w:t>
            </w:r>
          </w:p>
        </w:tc>
        <w:tc>
          <w:tcPr>
            <w:tcW w:type="dxa" w:w="1800"/>
            <w:vAlign w:val="top"/>
            <w:tcBorders>
              <w:top w:val="nil"/>
              <w:left w:val="nil"/>
              <w:bottom w:val="nil"/>
              <w:right w:val="nil"/>
            </w:tcBorders>
            <w:tcMar>
              <w:top w:w="0" w:type="dxa"/>
              <w:left w:w="0" w:type="dxa"/>
              <w:bottom w:w="0" w:type="dxa"/>
              <w:right w:w="0" w:type="dxa"/>
            </w:tcMar>
          </w:tcPr>
          <w:p>
            <w:pPr>
              <w:pStyle w:val="RoleHeader"/>
              <w:jc w:val="right"/>
            </w:pPr>
            <w:r>
              <w:rPr>
                <w:b/>
                <w:color w:val="2A4E58"/>
              </w:rPr>
              <w:t>2007-2012</w:t>
            </w:r>
          </w:p>
        </w:tc>
      </w:tr>
    </w:tbl>
    <w:p>
      <w:pPr>
        <w:pStyle w:val="RoleMeta"/>
      </w:pPr>
      <w:r>
        <w:t>Campo Grande, Brazil</w:t>
      </w:r>
    </w:p>
    <w:p>
      <w:pPr>
        <w:pStyle w:val="CompactBullet"/>
      </w:pPr>
      <w:r>
        <w:rPr>
          <w:color w:val="1E1E1E"/>
        </w:rPr>
        <w:t>• Worked in the Project Office (2007-2008) and Communications Office (2008-2012), both linked to the General Directorate of the statewide public cultural foundation.</w:t>
      </w:r>
    </w:p>
    <w:p>
      <w:pPr>
        <w:pStyle w:val="CompactBullet"/>
      </w:pPr>
      <w:r>
        <w:rPr>
          <w:color w:val="1E1E1E"/>
        </w:rPr>
        <w:t>• Researched, planned, and developed cultural projects and public communication for the foundation and its museums, cultural centers, artisan center, performance venue, and state public library.</w:t>
      </w:r>
    </w:p>
    <w:p>
      <w:pPr>
        <w:pStyle w:val="CompactBullet"/>
      </w:pPr>
      <w:r>
        <w:rPr>
          <w:color w:val="1E1E1E"/>
        </w:rPr>
        <w:t>• Developed visual identity systems, publications, exhibition and event materials, institutional guides, campaigns, and public-facing communications designed to strengthen program visibility and organizational coherence.</w:t>
      </w:r>
    </w:p>
    <w:p>
      <w:pPr>
        <w:pStyle w:val="CompactBullet"/>
      </w:pPr>
      <w:r>
        <w:rPr>
          <w:color w:val="1E1E1E"/>
        </w:rPr>
        <w:t>• Translated cultural, curatorial, educational, and public-policy content into accessible visual systems for audiences across visual arts, heritage, literature, film, music, theater, and regional crafts.</w:t>
      </w:r>
    </w:p>
    <w:p>
      <w:pPr>
        <w:pStyle w:val="CompactBullet"/>
      </w:pPr>
      <w:r>
        <w:rPr>
          <w:color w:val="1E1E1E"/>
        </w:rPr>
        <w:t>• Contributed to major editorial and institutional projects, including cultural books, catalogs, periodicals, and publications documenting regional artists and artisan traditions.</w:t>
      </w:r>
    </w:p>
    <w:tbl>
      <w:tblPr>
        <w:tblW w:type="auto" w:w="0"/>
        <w:jc w:val="left"/>
        <w:tblLayout w:type="fixed"/>
        <w:tblLook w:firstColumn="1" w:firstRow="1" w:lastColumn="0" w:lastRow="0" w:noHBand="0" w:noVBand="1" w:val="04A0"/>
      </w:tblPr>
      <w:tblGrid>
        <w:gridCol w:w="9432"/>
        <w:gridCol w:w="1800"/>
      </w:tblGrid>
      <w:tr>
        <w:trPr>
          <w:cantSplit/>
        </w:trPr>
        <w:tc>
          <w:tcPr>
            <w:tcW w:type="dxa" w:w="9432"/>
            <w:vAlign w:val="top"/>
            <w:tcBorders>
              <w:top w:val="nil"/>
              <w:left w:val="nil"/>
              <w:bottom w:val="nil"/>
              <w:right w:val="nil"/>
            </w:tcBorders>
            <w:tcMar>
              <w:top w:w="0" w:type="dxa"/>
              <w:left w:w="0" w:type="dxa"/>
              <w:bottom w:w="0" w:type="dxa"/>
              <w:right w:w="0" w:type="dxa"/>
            </w:tcMar>
          </w:tcPr>
          <w:p>
            <w:pPr>
              <w:pStyle w:val="RoleHeader"/>
            </w:pPr>
            <w:r>
              <w:rPr>
                <w:b/>
              </w:rPr>
              <w:t>Arts and Culture Manager (Gestora de Artes e Cultura)</w:t>
            </w:r>
            <w:r>
              <w:rPr>
                <w:b w:val="0"/>
                <w:color w:val="2A4E58"/>
              </w:rPr>
              <w:t xml:space="preserve"> | State Secretariat of Culture of Mato Grosso do Sul</w:t>
            </w:r>
          </w:p>
        </w:tc>
        <w:tc>
          <w:tcPr>
            <w:tcW w:type="dxa" w:w="1800"/>
            <w:vAlign w:val="top"/>
            <w:tcBorders>
              <w:top w:val="nil"/>
              <w:left w:val="nil"/>
              <w:bottom w:val="nil"/>
              <w:right w:val="nil"/>
            </w:tcBorders>
            <w:tcMar>
              <w:top w:w="0" w:type="dxa"/>
              <w:left w:w="0" w:type="dxa"/>
              <w:bottom w:w="0" w:type="dxa"/>
              <w:right w:w="0" w:type="dxa"/>
            </w:tcMar>
          </w:tcPr>
          <w:p>
            <w:pPr>
              <w:pStyle w:val="RoleHeader"/>
              <w:jc w:val="right"/>
            </w:pPr>
            <w:r>
              <w:rPr>
                <w:b/>
                <w:color w:val="2A4E58"/>
              </w:rPr>
              <w:t>2006</w:t>
            </w:r>
          </w:p>
        </w:tc>
      </w:tr>
    </w:tbl>
    <w:p>
      <w:pPr>
        <w:pStyle w:val="RoleMeta"/>
      </w:pPr>
      <w:r>
        <w:t>Campo Grande, Brazil</w:t>
      </w:r>
    </w:p>
    <w:p>
      <w:pPr>
        <w:pStyle w:val="CompactBullet"/>
      </w:pPr>
      <w:r>
        <w:rPr>
          <w:color w:val="1E1E1E"/>
        </w:rPr>
        <w:t>• Conducted research and contributed to the planning and development of public cultural projects within the Department of Public Policy.</w:t>
      </w:r>
    </w:p>
    <w:p>
      <w:pPr>
        <w:pStyle w:val="CompactBullet"/>
      </w:pPr>
      <w:r>
        <w:rPr>
          <w:color w:val="1E1E1E"/>
        </w:rPr>
        <w:t>• Supported project formulation connecting public administration, cultural programming, regional institutions, and community access.</w:t>
      </w:r>
    </w:p>
    <w:p>
      <w:pPr>
        <w:pStyle w:val="Heading1"/>
        <w:pBdr>
          <w:bottom w:val="single" w:sz="8" w:space="2" w:color="4A7179"/>
        </w:pBdr>
      </w:pPr>
      <w:r>
        <w:t>RESEARCH APPOINTMENTS</w:t>
      </w:r>
    </w:p>
    <w:p>
      <w:pPr>
        <w:pStyle w:val="CompactBody"/>
      </w:pPr>
      <w:r>
        <w:rPr>
          <w:b/>
        </w:rPr>
        <w:t>Postdoctoral Research</w:t>
      </w:r>
      <w:r>
        <w:rPr>
          <w:color w:val="2A4E58"/>
        </w:rPr>
        <w:t xml:space="preserve"> | University of Rhode Island, United States | 2024</w:t>
      </w:r>
    </w:p>
    <w:p>
      <w:pPr>
        <w:pStyle w:val="CompactBullet"/>
      </w:pPr>
      <w:r>
        <w:t>Interdisciplinary research in philosophy and visual arts focused on Peircean pragmatism, artistic inquiry, and creative processes.</w:t>
      </w:r>
    </w:p>
    <w:p>
      <w:pPr>
        <w:pStyle w:val="CompactBody"/>
      </w:pPr>
      <w:r>
        <w:rPr>
          <w:b/>
        </w:rPr>
        <w:t>Postdoctoral Research</w:t>
      </w:r>
      <w:r>
        <w:rPr>
          <w:color w:val="2A4E58"/>
        </w:rPr>
        <w:t xml:space="preserve"> | Universidad de Navarra, Spain | 2023-2024</w:t>
      </w:r>
    </w:p>
    <w:p>
      <w:pPr>
        <w:pStyle w:val="CompactBullet"/>
      </w:pPr>
      <w:r>
        <w:t>Research at the intersection of philosophy, semiotics, creativity, community, and artistic practice.</w:t>
      </w:r>
    </w:p>
    <w:p>
      <w:pPr>
        <w:pStyle w:val="CompactBody"/>
      </w:pPr>
      <w:r>
        <w:rPr>
          <w:b/>
        </w:rPr>
        <w:t>Visiting Doctoral Research</w:t>
      </w:r>
      <w:r>
        <w:rPr>
          <w:color w:val="2A4E58"/>
        </w:rPr>
        <w:t xml:space="preserve"> | University of Rhode Island, United States | During Ph.D.</w:t>
      </w:r>
    </w:p>
    <w:p>
      <w:pPr>
        <w:pStyle w:val="CompactBullet"/>
      </w:pPr>
      <w:r>
        <w:t>Research with Vincent Colapietro on pragmatism, aesthetics, inquiry, habit change, art, and design.</w:t>
      </w:r>
    </w:p>
    <w:p>
      <w:pPr>
        <w:pStyle w:val="Heading1"/>
        <w:pBdr>
          <w:bottom w:val="single" w:sz="8" w:space="2" w:color="4A7179"/>
        </w:pBdr>
      </w:pPr>
      <w:r>
        <w:t>EDUCATION</w:t>
      </w:r>
    </w:p>
    <w:p>
      <w:pPr>
        <w:pStyle w:val="CompactBody"/>
      </w:pPr>
      <w:r>
        <w:rPr>
          <w:b/>
        </w:rPr>
        <w:t>Ph.D. in Visual Arts</w:t>
      </w:r>
      <w:r>
        <w:rPr>
          <w:color w:val="2A4E58"/>
        </w:rPr>
        <w:t xml:space="preserve"> | University of São Paulo - USP, Brazil | 2021</w:t>
      </w:r>
    </w:p>
    <w:p>
      <w:pPr>
        <w:pStyle w:val="CompactBullet"/>
      </w:pPr>
      <w:r>
        <w:t>Research on contemplation, disruption, and habit change through a Peircean investigation of relationships between art and design; visiting research at the University of Rhode Island.</w:t>
      </w:r>
    </w:p>
    <w:p>
      <w:pPr>
        <w:pStyle w:val="CompactBody"/>
      </w:pPr>
      <w:r>
        <w:rPr>
          <w:b/>
        </w:rPr>
        <w:t>M.A. in Language Studies</w:t>
      </w:r>
      <w:r>
        <w:rPr>
          <w:color w:val="2A4E58"/>
        </w:rPr>
        <w:t xml:space="preserve"> | Federal University of Mato Grosso do Sul - UFMS, Brazil | 2009</w:t>
      </w:r>
    </w:p>
    <w:p>
      <w:pPr>
        <w:pStyle w:val="CompactBullet"/>
      </w:pPr>
      <w:r>
        <w:t>Thesis: Graphic Design and Possible Dialogues with Art.</w:t>
      </w:r>
    </w:p>
    <w:p>
      <w:pPr>
        <w:pStyle w:val="CompactBody"/>
      </w:pPr>
      <w:r>
        <w:rPr>
          <w:b/>
        </w:rPr>
        <w:t>Postgraduate Specialization in Image and Sound</w:t>
      </w:r>
      <w:r>
        <w:rPr>
          <w:color w:val="2A4E58"/>
        </w:rPr>
        <w:t xml:space="preserve"> | Federal University of Mato Grosso do Sul - UFMS, Brazil | 2006</w:t>
      </w:r>
    </w:p>
    <w:p>
      <w:pPr>
        <w:pStyle w:val="CompactBullet"/>
      </w:pPr>
      <w:r>
        <w:t>Research on contemporary intersections between art and graphic design.</w:t>
      </w:r>
    </w:p>
    <w:p>
      <w:pPr>
        <w:pStyle w:val="CompactBody"/>
      </w:pPr>
      <w:r>
        <w:rPr>
          <w:b/>
        </w:rPr>
        <w:t>B.A. and Teaching Licensure in Visual Arts</w:t>
      </w:r>
      <w:r>
        <w:rPr>
          <w:color w:val="2A4E58"/>
        </w:rPr>
        <w:t xml:space="preserve"> | Federal University of Mato Grosso do Sul - UFMS, Brazil | 2003</w:t>
      </w:r>
    </w:p>
    <w:p>
      <w:pPr>
        <w:pStyle w:val="CompactBullet"/>
      </w:pPr>
      <w:r>
        <w:t>Final project: Open Work - A Multimedia Installation. Recipient of the university Visual Arts Week Best Video award, 2003.</w:t>
      </w:r>
    </w:p>
    <w:p>
      <w:pPr>
        <w:pStyle w:val="Heading1"/>
        <w:pBdr>
          <w:bottom w:val="single" w:sz="8" w:space="2" w:color="4A7179"/>
        </w:pBdr>
      </w:pPr>
      <w:r>
        <w:t>SELECTED PROGRAM, ACADEMIC, AND CURATORIAL LEADERSHIP</w:t>
      </w:r>
    </w:p>
    <w:p>
      <w:pPr>
        <w:pStyle w:val="CompactBody"/>
      </w:pPr>
      <w:r>
        <w:rPr>
          <w:b/>
        </w:rPr>
        <w:t>Creative Process Observation Map</w:t>
      </w:r>
      <w:r>
        <w:rPr>
          <w:color w:val="2A4E58"/>
        </w:rPr>
        <w:t xml:space="preserve"> | Research and Methodology Development | 2022-Present</w:t>
      </w:r>
    </w:p>
    <w:p>
      <w:pPr>
        <w:pStyle w:val="CompactBullet"/>
      </w:pPr>
      <w:r>
        <w:t>Developed and refined a research-based framework for observing desire, hypothesis formation, experimentation, material resistance, chance, revision, synthesis, evaluation, and continuing inquiry in artistic practice.</w:t>
      </w:r>
    </w:p>
    <w:p>
      <w:pPr>
        <w:pStyle w:val="CompactBody"/>
      </w:pPr>
      <w:r>
        <w:rPr>
          <w:b/>
        </w:rPr>
        <w:t>Mostra de Arte 2022</w:t>
      </w:r>
      <w:r>
        <w:rPr>
          <w:color w:val="2A4E58"/>
        </w:rPr>
        <w:t xml:space="preserve"> | Coordinator, Exhibition Curator, and Colloquium Moderator | 2022</w:t>
      </w:r>
    </w:p>
    <w:p>
      <w:pPr>
        <w:pStyle w:val="CompactBullet"/>
      </w:pPr>
      <w:r>
        <w:t>Coordinated the university art exhibition, curated artistic presentation, and moderated the final-project colloquium.</w:t>
      </w:r>
    </w:p>
    <w:p>
      <w:pPr>
        <w:pStyle w:val="CompactBody"/>
      </w:pPr>
      <w:r>
        <w:rPr>
          <w:b/>
        </w:rPr>
        <w:t>XI Art Symposium: Dialoguing with Technologies</w:t>
      </w:r>
      <w:r>
        <w:rPr>
          <w:color w:val="2A4E58"/>
        </w:rPr>
        <w:t xml:space="preserve"> | Program Coordinator | 2014</w:t>
      </w:r>
    </w:p>
    <w:p>
      <w:pPr>
        <w:pStyle w:val="CompactBullet"/>
      </w:pPr>
      <w:r>
        <w:t>Coordinated a grant-supported extension symposium with support from CAPES, Fundação Araucária, and Instituto Arte na Escola.</w:t>
      </w:r>
    </w:p>
    <w:p>
      <w:pPr>
        <w:pStyle w:val="CompactBody"/>
      </w:pPr>
      <w:r>
        <w:rPr>
          <w:b/>
        </w:rPr>
        <w:t>X Art Symposium: Art Spaces, Knowledge Spaces</w:t>
      </w:r>
      <w:r>
        <w:rPr>
          <w:color w:val="2A4E58"/>
        </w:rPr>
        <w:t xml:space="preserve"> | Program Coordinator | 2013</w:t>
      </w:r>
    </w:p>
    <w:p>
      <w:pPr>
        <w:pStyle w:val="CompactBullet"/>
      </w:pPr>
      <w:r>
        <w:t>Coordinated interdisciplinary arts and education programming, exhibition activities, and public academic exchange.</w:t>
      </w:r>
    </w:p>
    <w:p>
      <w:pPr>
        <w:pStyle w:val="CompactBody"/>
      </w:pPr>
      <w:r>
        <w:rPr>
          <w:b/>
        </w:rPr>
        <w:t>Trilogias Culturais I and II</w:t>
      </w:r>
      <w:r>
        <w:rPr>
          <w:color w:val="2A4E58"/>
        </w:rPr>
        <w:t xml:space="preserve"> | Program Coordinator | 2012-2013</w:t>
      </w:r>
    </w:p>
    <w:p>
      <w:pPr>
        <w:pStyle w:val="CompactBullet"/>
      </w:pPr>
      <w:r>
        <w:t>Designed interdisciplinary film and public-discussion programs connecting communication, literature, history, education, art education, and philosophy.</w:t>
      </w:r>
    </w:p>
    <w:p>
      <w:pPr>
        <w:pStyle w:val="Heading1"/>
        <w:pBdr>
          <w:bottom w:val="single" w:sz="8" w:space="2" w:color="4A7179"/>
        </w:pBdr>
      </w:pPr>
      <w:r>
        <w:t>SELECTED TEACHING AND FACILITATION PORTFOLIO</w:t>
      </w:r>
    </w:p>
    <w:p>
      <w:pPr>
        <w:pStyle w:val="CompactBody"/>
      </w:pPr>
      <w:r>
        <w:t>Undergraduate, postgraduate, extension, online, and continuing-education teaching across Foundations of Visual Arts; Visual Perception; Semiotics; Creative Processes; Drawing and Painting; Printmaking; Three-Dimensional Practices; Expressive Materials; Art and Technology; Photography; Video; Graphic Design; Visual Communication; Art and Politics; Media and Society; Participatory Poetics; Community-Based Artistic Production; Art History; Image Production; Visual Culture; Web Design; and Art Direction in Photography.</w:t>
      </w:r>
    </w:p>
    <w:p>
      <w:pPr>
        <w:pStyle w:val="CompactBody"/>
      </w:pPr>
      <w:r>
        <w:rPr>
          <w:b/>
        </w:rPr>
        <w:t>Substitute Professor of Visual Arts</w:t>
      </w:r>
      <w:r>
        <w:rPr>
          <w:color w:val="2A4E58"/>
        </w:rPr>
        <w:t xml:space="preserve"> | Federal University of Mato Grosso do Sul - UFMS | 2006-2008</w:t>
      </w:r>
    </w:p>
    <w:p>
      <w:pPr>
        <w:pStyle w:val="CompactBullet"/>
      </w:pPr>
      <w:r>
        <w:t>Taught drawing, digital image, introductory video, graphic design, photography, and contemporary artistic practices.</w:t>
      </w:r>
    </w:p>
    <w:p>
      <w:pPr>
        <w:pStyle w:val="CompactBody"/>
      </w:pPr>
      <w:r>
        <w:rPr>
          <w:b/>
        </w:rPr>
        <w:t>Professor and Visiting Instructor</w:t>
      </w:r>
      <w:r>
        <w:rPr>
          <w:color w:val="2A4E58"/>
        </w:rPr>
        <w:t xml:space="preserve"> | UCDB, Faculdade Pitágoras, UNIDERP, UNIGRAN, FACSUL, and other higher-education institutions | 2004-2012</w:t>
      </w:r>
    </w:p>
    <w:p>
      <w:pPr>
        <w:pStyle w:val="CompactBullet"/>
      </w:pPr>
      <w:r>
        <w:t>Taught undergraduate and postgraduate courses in visual communication, design, photography, image semiotics, visual culture, advertising creation, editorial design, and media production.</w:t>
      </w:r>
    </w:p>
    <w:p>
      <w:pPr>
        <w:pStyle w:val="Heading1"/>
        <w:pBdr>
          <w:bottom w:val="single" w:sz="8" w:space="2" w:color="4A7179"/>
        </w:pBdr>
      </w:pPr>
      <w:r>
        <w:t>SELECTED CULTURAL COMMUNICATION AND EDITORIAL WORK</w:t>
      </w:r>
    </w:p>
    <w:p>
      <w:pPr>
        <w:pStyle w:val="CompactBody"/>
      </w:pPr>
      <w:r>
        <w:t>Produced visual communication for public cultural agencies, museums, exhibitions, performing arts, film, literature, education, heritage, and community programs. Selected work includes:</w:t>
      </w:r>
    </w:p>
    <w:p>
      <w:pPr>
        <w:pStyle w:val="CompactBullet"/>
      </w:pPr>
      <w:r>
        <w:rPr>
          <w:color w:val="1E1E1E"/>
        </w:rPr>
        <w:t>• Vozes do Artesanato (2011) - editorial design for a 260-page cultural publication documenting regional artisan traditions.</w:t>
      </w:r>
    </w:p>
    <w:p>
      <w:pPr>
        <w:pStyle w:val="CompactBullet"/>
      </w:pPr>
      <w:r>
        <w:rPr>
          <w:color w:val="1E1E1E"/>
        </w:rPr>
        <w:t>• Vozes das Artes Plásticas (2013) - illustration and editorial contribution to a 332-page publication on visual artists in Mato Grosso do Sul.</w:t>
      </w:r>
    </w:p>
    <w:p>
      <w:pPr>
        <w:pStyle w:val="CompactBullet"/>
      </w:pPr>
      <w:r>
        <w:rPr>
          <w:color w:val="1E1E1E"/>
        </w:rPr>
        <w:t>• Visual identities and public communication for museums, cultural centers, libraries, exhibitions, performing-arts programs, film events, and public cultural initiatives.</w:t>
      </w:r>
    </w:p>
    <w:p>
      <w:pPr>
        <w:pStyle w:val="CompactBullet"/>
      </w:pPr>
      <w:r>
        <w:rPr>
          <w:color w:val="1E1E1E"/>
        </w:rPr>
        <w:t>• Exhibition catalogs, institutional guides, periodicals, educational materials, artist-residency calls, reports, digital galleries, interviews, photography, and audiovisual documentation.</w:t>
      </w:r>
    </w:p>
    <w:p>
      <w:pPr>
        <w:pStyle w:val="Heading1"/>
        <w:pBdr>
          <w:bottom w:val="single" w:sz="8" w:space="2" w:color="4A7179"/>
        </w:pBdr>
      </w:pPr>
      <w:r>
        <w:t>SELECTED ARTISTIC AND CURATORIAL PRACTICE</w:t>
      </w:r>
    </w:p>
    <w:p>
      <w:pPr>
        <w:pStyle w:val="CompactBody"/>
      </w:pPr>
      <w:r>
        <w:rPr>
          <w:b/>
        </w:rPr>
        <w:t>Interdisciplinary Artistic Practice</w:t>
      </w:r>
      <w:r>
        <w:rPr>
          <w:color w:val="2A4E58"/>
        </w:rPr>
        <w:t xml:space="preserve"> | Video, photography, installation, multimedia, and process-based work | Ongoing</w:t>
      </w:r>
    </w:p>
    <w:p>
      <w:pPr>
        <w:pStyle w:val="CompactBullet"/>
      </w:pPr>
      <w:r>
        <w:t>Longstanding inquiry into participation, repetition, perception, open form, duration, and transformation. Current work includes a daily sunrise video archive examining how repetition reveals difference.</w:t>
      </w:r>
    </w:p>
    <w:p>
      <w:pPr>
        <w:pStyle w:val="CompactBody"/>
      </w:pPr>
      <w:r>
        <w:rPr>
          <w:b/>
        </w:rPr>
        <w:t>Comtempo - Contexts and Concepts / Traces and Records</w:t>
      </w:r>
      <w:r>
        <w:rPr>
          <w:color w:val="2A4E58"/>
        </w:rPr>
        <w:t xml:space="preserve"> | Collective exhibitions, Museum of Contemporary Art and other venues | 2000s</w:t>
      </w:r>
    </w:p>
    <w:p>
      <w:pPr>
        <w:pStyle w:val="CompactBullet"/>
      </w:pPr>
      <w:r>
        <w:t>Participated in an artist group informed by the concept of the open work, developing multimedia exhibitions that invited public participation.</w:t>
      </w:r>
    </w:p>
    <w:p>
      <w:pPr>
        <w:pStyle w:val="CompactBody"/>
      </w:pPr>
      <w:r>
        <w:rPr>
          <w:b/>
        </w:rPr>
        <w:t>Process-Based Exhibitions</w:t>
      </w:r>
      <w:r>
        <w:rPr>
          <w:color w:val="2A4E58"/>
        </w:rPr>
        <w:t xml:space="preserve"> | Curator and mentor, Artistic Residency Em Processo | 2022-Present</w:t>
      </w:r>
    </w:p>
    <w:p>
      <w:pPr>
        <w:pStyle w:val="CompactBullet"/>
      </w:pPr>
      <w:r>
        <w:t>Curated exhibitions connecting completed works with notebooks, research materials, audiovisual documentation, artist testimony, and public dialogue.</w:t>
      </w:r>
    </w:p>
    <w:p>
      <w:pPr>
        <w:pStyle w:val="CompactBody"/>
      </w:pPr>
      <w:r>
        <w:rPr>
          <w:b/>
        </w:rPr>
        <w:t>SESC Horto Artistic Programs</w:t>
      </w:r>
      <w:r>
        <w:rPr>
          <w:color w:val="2A4E58"/>
        </w:rPr>
        <w:t xml:space="preserve"> | Curatorial and cultural-program intern | 2002</w:t>
      </w:r>
    </w:p>
    <w:p>
      <w:pPr>
        <w:pStyle w:val="CompactBullet"/>
      </w:pPr>
      <w:r>
        <w:t>Supported curatorial work, exhibition installation, guided visits, cultural project creation, event production, and public communication.</w:t>
      </w:r>
    </w:p>
    <w:p>
      <w:pPr>
        <w:pStyle w:val="Heading1"/>
        <w:pBdr>
          <w:bottom w:val="single" w:sz="8" w:space="2" w:color="4A7179"/>
        </w:pBdr>
      </w:pPr>
      <w:r>
        <w:t>SELECTED RECOGNITION AND PROFESSIONAL NETWORKS</w:t>
      </w:r>
    </w:p>
    <w:tbl>
      <w:tblPr>
        <w:tblW w:type="auto" w:w="0"/>
        <w:jc w:val="left"/>
        <w:tblLayout w:type="fixed"/>
        <w:tblLook w:firstColumn="1" w:firstRow="1" w:lastColumn="0" w:lastRow="0" w:noHBand="0" w:noVBand="1" w:val="04A0"/>
      </w:tblPr>
      <w:tblGrid>
        <w:gridCol w:w="5141"/>
        <w:gridCol w:w="5141"/>
      </w:tblGrid>
      <w:tr>
        <w:trPr>
          <w:cantSplit/>
        </w:trPr>
        <w:tc>
          <w:tcPr>
            <w:tcW w:type="dxa" w:w="5472"/>
            <w:tcBorders>
              <w:top w:val="nil"/>
              <w:left w:val="nil"/>
              <w:bottom w:val="nil"/>
              <w:right w:val="nil"/>
            </w:tcBorders>
          </w:tcPr>
          <w:p>
            <w:pPr>
              <w:pStyle w:val="CompactBody"/>
              <w:spacing w:after="0"/>
            </w:pPr>
            <w:r>
              <w:t>• Ponto de Cultura certification - Artistic Residency Em Processo</w:t>
            </w:r>
          </w:p>
        </w:tc>
        <w:tc>
          <w:tcPr>
            <w:tcW w:type="dxa" w:w="5472"/>
            <w:tcBorders>
              <w:top w:val="nil"/>
              <w:left w:val="nil"/>
              <w:bottom w:val="nil"/>
              <w:right w:val="nil"/>
            </w:tcBorders>
          </w:tcPr>
          <w:p>
            <w:pPr>
              <w:pStyle w:val="CompactBody"/>
              <w:spacing w:after="0"/>
            </w:pPr>
            <w:r>
              <w:t>• Member of the Res Artis international artist-residency network</w:t>
            </w:r>
          </w:p>
        </w:tc>
      </w:tr>
      <w:tr>
        <w:trPr>
          <w:cantSplit/>
        </w:trPr>
        <w:tc>
          <w:tcPr>
            <w:tcW w:type="dxa" w:w="5472"/>
            <w:tcBorders>
              <w:top w:val="nil"/>
              <w:left w:val="nil"/>
              <w:bottom w:val="nil"/>
              <w:right w:val="nil"/>
            </w:tcBorders>
          </w:tcPr>
          <w:p>
            <w:pPr>
              <w:pStyle w:val="CompactBody"/>
              <w:spacing w:after="0"/>
            </w:pPr>
            <w:r>
              <w:t>• 6th place among 1,130 proposals - Paraná State Multi-Arts Funding Program (99/100)</w:t>
            </w:r>
          </w:p>
        </w:tc>
        <w:tc>
          <w:tcPr>
            <w:tcW w:type="dxa" w:w="5472"/>
            <w:tcBorders>
              <w:top w:val="nil"/>
              <w:left w:val="nil"/>
              <w:bottom w:val="nil"/>
              <w:right w:val="nil"/>
            </w:tcBorders>
          </w:tcPr>
          <w:p>
            <w:pPr>
              <w:pStyle w:val="CompactBody"/>
              <w:spacing w:after="0"/>
            </w:pPr>
            <w:r>
              <w:t>• 8th place - Cultura Viva public funding program (97/100)</w:t>
            </w:r>
          </w:p>
        </w:tc>
      </w:tr>
      <w:tr>
        <w:trPr>
          <w:cantSplit/>
        </w:trPr>
        <w:tc>
          <w:tcPr>
            <w:tcW w:type="dxa" w:w="5472"/>
            <w:tcBorders>
              <w:top w:val="nil"/>
              <w:left w:val="nil"/>
              <w:bottom w:val="nil"/>
              <w:right w:val="nil"/>
            </w:tcBorders>
          </w:tcPr>
          <w:p>
            <w:pPr>
              <w:pStyle w:val="CompactBody"/>
              <w:spacing w:after="0"/>
            </w:pPr>
            <w:r>
              <w:t>• 3rd place - Municipal Arte em Rede: Conexões program</w:t>
            </w:r>
          </w:p>
        </w:tc>
        <w:tc>
          <w:tcPr>
            <w:tcW w:type="dxa" w:w="5472"/>
            <w:tcBorders>
              <w:top w:val="nil"/>
              <w:left w:val="nil"/>
              <w:bottom w:val="nil"/>
              <w:right w:val="nil"/>
            </w:tcBorders>
          </w:tcPr>
          <w:p>
            <w:pPr>
              <w:pStyle w:val="CompactBody"/>
              <w:spacing w:after="0"/>
            </w:pPr>
            <w:r>
              <w:t>• Best Video Award - UFMS Visual Arts Week, 2003</w:t>
            </w:r>
          </w:p>
        </w:tc>
      </w:tr>
    </w:tbl>
    <w:p>
      <w:pPr>
        <w:pStyle w:val="CompactBody"/>
      </w:pPr>
      <w:r>
        <w:rPr>
          <w:b/>
        </w:rPr>
        <w:t>Languages:</w:t>
      </w:r>
      <w:r>
        <w:t xml:space="preserve"> Portuguese (native)  |  English (advanced professional)  |  Spanish (working reading/listening)  |  French (basic)</w:t>
      </w:r>
    </w:p>
    <w:sectPr w:rsidR="00FC693F" w:rsidRPr="0006063C" w:rsidSect="00034616">
      <w:headerReference w:type="default" r:id="rId9"/>
      <w:footerReference w:type="default" r:id="rId10"/>
      <w:pgSz w:w="12240" w:h="15840"/>
      <w:pgMar w:top="720" w:right="979" w:bottom="720" w:left="979"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28282"/>
        <w:sz w:val="15"/>
      </w:rPr>
      <w:t xml:space="preserve">DESIRÉE PASCHOAL DE MELO  •  MASTER CURRICULUM VITAE  •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828282"/>
        <w:sz w:val="16"/>
      </w:rPr>
      <w:t>MASTER CV | 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outlineLvl w:val="0"/>
    </w:pPr>
    <w:rPr>
      <w:rFonts w:asciiTheme="majorHAnsi" w:eastAsiaTheme="majorEastAsia" w:hAnsiTheme="majorHAnsi" w:cstheme="majorBidi" w:ascii="Arial" w:hAnsi="Arial" w:eastAsia="Arial"/>
      <w:b/>
      <w:bCs/>
      <w:color w:val="2A4E58"/>
      <w:sz w:val="23"/>
      <w:szCs w:val="28"/>
    </w:rPr>
  </w:style>
  <w:style w:type="paragraph" w:styleId="Heading2">
    <w:name w:val="heading 2"/>
    <w:basedOn w:val="Normal"/>
    <w:next w:val="Normal"/>
    <w:link w:val="Heading2Char"/>
    <w:uiPriority w:val="9"/>
    <w:unhideWhenUsed/>
    <w:qFormat/>
    <w:rsid w:val="00FC693F"/>
    <w:pPr>
      <w:keepNext/>
      <w:keepLines/>
      <w:spacing w:before="80" w:after="20"/>
      <w:outlineLvl w:val="1"/>
    </w:pPr>
    <w:rPr>
      <w:rFonts w:asciiTheme="majorHAnsi" w:eastAsiaTheme="majorEastAsia" w:hAnsiTheme="majorHAnsi" w:cstheme="majorBidi" w:ascii="Arial" w:hAnsi="Arial" w:eastAsia="Arial"/>
      <w:b/>
      <w:bCs/>
      <w:color w:val="1E1E1E"/>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0" w:line="240" w:lineRule="auto"/>
      <w:contextualSpacing/>
      <w:jc w:val="center"/>
    </w:pPr>
    <w:rPr>
      <w:rFonts w:asciiTheme="majorHAnsi" w:eastAsiaTheme="majorEastAsia" w:hAnsiTheme="majorHAnsi" w:cstheme="majorBidi" w:ascii="Arial" w:hAnsi="Arial" w:eastAsia="Arial"/>
      <w:b/>
      <w:color w:val="2A4E58"/>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40"/>
      <w:jc w:val="center"/>
    </w:pPr>
    <w:rPr>
      <w:rFonts w:asciiTheme="majorHAnsi" w:eastAsiaTheme="majorEastAsia" w:hAnsiTheme="majorHAnsi" w:cstheme="majorBidi" w:ascii="Arial" w:hAnsi="Arial" w:eastAsia="Arial"/>
      <w:b/>
      <w:i/>
      <w:iCs/>
      <w:color w:val="2A4E58"/>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oleHeader">
    <w:name w:val="Role Header"/>
    <w:pPr>
      <w:keepNext/>
      <w:spacing w:before="100" w:after="0"/>
    </w:pPr>
    <w:rPr>
      <w:rFonts w:ascii="Arial" w:hAnsi="Arial" w:eastAsia="Arial"/>
      <w:b/>
      <w:color w:val="1E1E1E"/>
      <w:sz w:val="20"/>
    </w:rPr>
  </w:style>
  <w:style w:type="paragraph" w:customStyle="1" w:styleId="RoleMeta">
    <w:name w:val="Role Meta"/>
    <w:pPr>
      <w:keepNext/>
      <w:spacing w:after="20"/>
    </w:pPr>
    <w:rPr>
      <w:rFonts w:ascii="Arial" w:hAnsi="Arial" w:eastAsia="Arial"/>
      <w:i/>
      <w:color w:val="555555"/>
      <w:sz w:val="17"/>
    </w:rPr>
  </w:style>
  <w:style w:type="paragraph" w:customStyle="1" w:styleId="CompactBullet">
    <w:name w:val="Compact Bullet"/>
    <w:pPr>
      <w:keepLines/>
      <w:spacing w:after="16"/>
      <w:ind w:left="259" w:hanging="173"/>
    </w:pPr>
    <w:rPr>
      <w:rFonts w:ascii="Arial" w:hAnsi="Arial" w:eastAsia="Arial"/>
      <w:sz w:val="18"/>
    </w:rPr>
  </w:style>
  <w:style w:type="paragraph" w:customStyle="1" w:styleId="CompactBody">
    <w:name w:val="Compact Body"/>
    <w:pPr>
      <w:keepLines/>
      <w:spacing w:after="30"/>
    </w:pPr>
    <w:rPr>
      <w:rFonts w:ascii="Arial" w:hAnsi="Arial" w:eastAsia="Arial"/>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Desirée Paschoal de Melo - Master CV 2026 (Reviewed)</dc:title>
  <dc:subject>Master curriculum vitae for strategic job applications</dc:subject>
  <dc:creator>Desirée Paschoal de Melo</dc:creator>
  <cp:keywords>arts education, cultural programs, artist development, curriculum, research, curatorial practice</cp:keywords>
  <dc:description>generated by python-docx</dc:description>
  <cp:lastModifiedBy/>
  <cp:revision>1</cp:revision>
  <dcterms:created xsi:type="dcterms:W3CDTF">2013-12-23T23:15:00Z</dcterms:created>
  <dcterms:modified xsi:type="dcterms:W3CDTF">2013-12-23T23:15:00Z</dcterms:modified>
  <cp:category/>
</cp:coreProperties>
</file>